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F306E" w:rsidRPr="00570BC3" w14:paraId="5B859819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0985E9CA" w14:textId="77777777" w:rsidTr="004F2D8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380" w:type="dxa"/>
            <w:shd w:val="clear" w:color="auto" w:fill="auto"/>
            <w:vAlign w:val="center"/>
            <w:hideMark/>
          </w:tcPr>
          <w:p w:rsidR="00DF306E" w:rsidP="00DF306E" w14:paraId="378E3458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DF306E" w:rsidP="00DF306E" w14:paraId="2453C3AD" w14:textId="51940B9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DF306E" w:rsidRPr="00DF23FD" w:rsidP="00DF306E" w14:paraId="3C8696CB" w14:textId="38A2FD6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DF306E" w:rsidP="00DF306E" w14:paraId="1253C683" w14:textId="010C57E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 HAZİRAN 2026</w:t>
            </w:r>
          </w:p>
          <w:p w:rsidR="006255EE" w:rsidRPr="00570BC3" w:rsidP="006255EE" w14:paraId="61E42C57" w14:textId="559A87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4F2D84" w14:paraId="4FC4B7CB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711371E6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E12CE5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283B068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14:paraId="171182ED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20588E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311117" w14:paraId="7960F12F" w14:textId="66A1D09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GERİ DÖNÜŞÜME KATKIDA BULUNALIM</w:t>
            </w:r>
          </w:p>
        </w:tc>
      </w:tr>
      <w:tr w14:paraId="0F9936FC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5D8727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1F239D" w:rsidP="006255EE" w14:paraId="2BAC6486" w14:textId="5931BBBA">
            <w:pPr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73DA30F8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3DF0DE9" w14:textId="610686F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F254524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HB.3.6.6.  Geri dönüşümün kendisine ve yaşadığı çevreye olan katkısına örnekler verir.</w:t>
            </w:r>
          </w:p>
        </w:tc>
      </w:tr>
      <w:tr w14:paraId="3876DF52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495917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8F9F69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1C519DC7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362110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434E56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68AE54DE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021E8A5A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5638F60F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2FAAF0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55096C6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Plastik, kâğıt, pil ve cam gibi maddelerin toplanma şekilleri ve tekrar kullanıma sunulma alanları örnek- lenir. Bu sürecin çevreye olan katkıları vurgulanır.  Sayılan maddelerden birini kullanmak ve farklı işlev kazandırmak suretiyle sürdürülebilirlikte rol alabilecekleri fark ettirilir.</w:t>
            </w:r>
          </w:p>
          <w:p w:rsidR="00B420D0" w:rsidP="006255EE" w14:paraId="7A795FE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RPr="00570BC3" w:rsidP="00B420D0" w14:paraId="6618887C" w14:textId="434EC7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204-207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775666EA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62447557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38257864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8B716D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2F33AD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Çoktan seçmeli testler, doğru yanlış, </w:t>
            </w:r>
            <w:bookmarkStart w:id="0" w:name="_GoBack"/>
            <w:bookmarkEnd w:id="0"/>
            <w:r w:rsidRPr="00570BC3">
              <w:rPr>
                <w:rFonts w:ascii="Tahoma" w:hAnsi="Tahoma" w:cs="Tahoma"/>
                <w:color w:val="000000" w:themeColor="text1"/>
              </w:rPr>
              <w:t xml:space="preserve"> boşluk doldurma,  soru-cevap, eşleştirme yapma, gözlem, öz değerlendirme, kavram haritası, vb değerlendirilebilir.</w:t>
            </w:r>
          </w:p>
        </w:tc>
      </w:tr>
      <w:tr w14:paraId="706713D8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10885AD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5A119AA8" w14:textId="295C77C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31C1D8B2" w14:textId="77777777" w:rsidTr="00DF306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3D712620" w14:textId="2901786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38D07FC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286CD62E" w14:textId="349F4D1A">
      <w:pPr>
        <w:rPr>
          <w:rFonts w:ascii="Tahoma" w:hAnsi="Tahoma" w:cs="Tahoma"/>
          <w:color w:val="000000" w:themeColor="text1"/>
        </w:rPr>
      </w:pPr>
      <w:r w:rsidRPr="004F2D8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335280</wp:posOffset>
                </wp:positionV>
                <wp:extent cx="6004560" cy="1668780"/>
                <wp:effectExtent l="0" t="0" r="0" b="0"/>
                <wp:wrapNone/>
                <wp:docPr id="177" name="Grup 17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7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4F2D84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7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901425496" name="Resim 18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01425496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8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4F2D84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77" o:spid="_x0000_s1025" style="width:472.8pt;height:131.4pt;margin-top:26.4pt;margin-left:31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4F2D84" w14:paraId="2A73C8CE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4F2D84" w14:paraId="36EB46D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4F2D84" w14:paraId="7B08EB22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4F2D84" w14:paraId="250C3107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181" name="Resim 1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1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4F2D84" w14:paraId="61747420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4F2D84" w14:paraId="4B97D90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4F2D84" w14:paraId="1B6E9101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3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